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 Regular" w:hAnsi="Times New Roman Regular" w:cs="Times New Roman Regular"/>
          <w:b/>
          <w:bCs/>
          <w:sz w:val="28"/>
          <w:szCs w:val="28"/>
        </w:rPr>
      </w:pPr>
      <w:r>
        <w:rPr>
          <w:rFonts w:ascii="Times New Roman Regular" w:hAnsi="Times New Roman Regular" w:cs="Times New Roman Regular"/>
          <w:b/>
          <w:bCs/>
          <w:sz w:val="28"/>
          <w:szCs w:val="28"/>
        </w:rPr>
        <w:t>重庆医科大学附属儿童医院</w:t>
      </w:r>
    </w:p>
    <w:p>
      <w:pPr>
        <w:jc w:val="center"/>
        <w:rPr>
          <w:rFonts w:ascii="Times New Roman Regular" w:hAnsi="Times New Roman Regular" w:cs="Times New Roman Regular"/>
          <w:b/>
          <w:bCs/>
          <w:sz w:val="28"/>
          <w:szCs w:val="28"/>
        </w:rPr>
      </w:pPr>
      <w:r>
        <w:rPr>
          <w:rFonts w:hint="eastAsia" w:ascii="Times New Roman Regular" w:hAnsi="Times New Roman Regular" w:cs="Times New Roman Regular"/>
          <w:b/>
          <w:bCs/>
          <w:sz w:val="28"/>
          <w:szCs w:val="28"/>
        </w:rPr>
        <w:t>教学直播及转播</w:t>
      </w:r>
      <w:r>
        <w:rPr>
          <w:rFonts w:ascii="Times New Roman Regular" w:hAnsi="Times New Roman Regular" w:cs="Times New Roman Regular"/>
          <w:b/>
          <w:bCs/>
          <w:sz w:val="28"/>
          <w:szCs w:val="28"/>
        </w:rPr>
        <w:t>平台</w:t>
      </w:r>
      <w:r>
        <w:rPr>
          <w:rFonts w:hint="eastAsia" w:ascii="Times New Roman Regular" w:hAnsi="Times New Roman Regular" w:cs="Times New Roman Regular"/>
          <w:b/>
          <w:bCs/>
          <w:sz w:val="28"/>
          <w:szCs w:val="28"/>
        </w:rPr>
        <w:t>项目</w:t>
      </w:r>
      <w:r>
        <w:rPr>
          <w:rFonts w:ascii="Times New Roman Regular" w:hAnsi="Times New Roman Regular" w:cs="Times New Roman Regular"/>
          <w:b/>
          <w:bCs/>
          <w:sz w:val="28"/>
          <w:szCs w:val="28"/>
        </w:rPr>
        <w:t>概况及要求</w:t>
      </w:r>
    </w:p>
    <w:p>
      <w:pPr>
        <w:pStyle w:val="2"/>
        <w:rPr>
          <w:rStyle w:val="8"/>
          <w:rFonts w:ascii="Times New Roman Regular" w:hAnsi="Times New Roman Regular" w:cs="Times New Roman Regular"/>
          <w:b/>
          <w:bCs/>
          <w:sz w:val="30"/>
          <w:szCs w:val="30"/>
        </w:rPr>
      </w:pPr>
      <w:r>
        <w:rPr>
          <w:rStyle w:val="8"/>
          <w:rFonts w:ascii="Times New Roman Regular" w:hAnsi="Times New Roman Regular" w:cs="Times New Roman Regular"/>
          <w:b/>
          <w:bCs/>
          <w:sz w:val="30"/>
          <w:szCs w:val="30"/>
        </w:rPr>
        <w:t>一、项目概况</w:t>
      </w:r>
    </w:p>
    <w:p>
      <w:pPr>
        <w:pStyle w:val="12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根据住培基地以及远程继续教育和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院校教育</w:t>
      </w:r>
      <w:r>
        <w:rPr>
          <w:rFonts w:hint="eastAsia" w:ascii="宋体" w:hAnsi="宋体" w:cs="宋体"/>
          <w:sz w:val="24"/>
          <w:szCs w:val="24"/>
        </w:rPr>
        <w:t>远程教学的需要，利用互联网手段为住培基地、带教老师、住院医师、学生等提供海量、优质、适用的教学资源及实用功能，实现对教学活动和教学效果进行跟踪收集、分析、评估，以及对住院医师的培训与学习过程进行全程管理，改善教学效率，提升培训质量。</w:t>
      </w:r>
    </w:p>
    <w:p>
      <w:pPr>
        <w:pStyle w:val="2"/>
      </w:pPr>
      <w:r>
        <w:rPr>
          <w:rStyle w:val="8"/>
          <w:rFonts w:hint="eastAsia" w:ascii="Times New Roman Regular" w:hAnsi="Times New Roman Regular" w:cs="Times New Roman Regular" w:eastAsiaTheme="minorEastAsia"/>
          <w:b/>
          <w:bCs/>
          <w:sz w:val="30"/>
          <w:szCs w:val="30"/>
          <w:lang w:val="en-US" w:eastAsia="zh-CN"/>
        </w:rPr>
        <w:t>二、</w:t>
      </w:r>
      <w:r>
        <w:rPr>
          <w:rStyle w:val="8"/>
          <w:rFonts w:ascii="Times New Roman Regular" w:hAnsi="Times New Roman Regular" w:cs="Times New Roman Regular" w:eastAsiaTheme="minorEastAsia"/>
          <w:b/>
          <w:bCs/>
          <w:sz w:val="30"/>
          <w:szCs w:val="30"/>
        </w:rPr>
        <w:t>项目要求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843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模块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子模块</w:t>
            </w: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模块描述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教学直播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基本模块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hint="default" w:eastAsia="宋体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</w:rPr>
              <w:t>针对现有的教室直播设备</w:t>
            </w:r>
            <w:r>
              <w:rPr>
                <w:rFonts w:hint="eastAsia"/>
                <w:bCs/>
                <w:sz w:val="24"/>
                <w:lang w:val="en-US" w:eastAsia="zh-CN"/>
              </w:rPr>
              <w:t>和其他教室、会议场地的直播需求</w:t>
            </w:r>
            <w:r>
              <w:rPr>
                <w:rFonts w:hint="eastAsia"/>
                <w:bCs/>
                <w:sz w:val="24"/>
              </w:rPr>
              <w:t xml:space="preserve">，提供至少2个网络推流房间；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配置模块</w:t>
            </w:r>
          </w:p>
        </w:tc>
        <w:tc>
          <w:tcPr>
            <w:tcW w:w="6095" w:type="dxa"/>
            <w:vAlign w:val="center"/>
          </w:tcPr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1、直播需要包含：原画、1280x720、854x480、640x360以满足不同网络条件下的观看流畅感。</w:t>
            </w:r>
          </w:p>
          <w:p>
            <w:pPr>
              <w:rPr>
                <w:rFonts w:hint="eastAsia" w:eastAsia="宋体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2、一年不限场次、流量、人数、存储；同步录制和实时转码</w:t>
            </w:r>
            <w:r>
              <w:rPr>
                <w:rFonts w:hint="eastAsia"/>
                <w:bCs/>
                <w:sz w:val="24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教学平台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教学管理模块</w:t>
            </w:r>
          </w:p>
        </w:tc>
        <w:tc>
          <w:tcPr>
            <w:tcW w:w="6095" w:type="dxa"/>
            <w:vAlign w:val="center"/>
          </w:tcPr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1、有课程管理、学员、订单、财务、查看学员信息、观看人数、点播次数、课程进度等功能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2、课程授权（个人、单位）、课程表、课程上架、开课通知、课件上传、课程回放设置等管理功能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3、直播统计功能、视频统计功能、订单统计功能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教学搜索模块</w:t>
            </w:r>
          </w:p>
        </w:tc>
        <w:tc>
          <w:tcPr>
            <w:tcW w:w="6095" w:type="dxa"/>
            <w:vAlign w:val="center"/>
          </w:tcPr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用户可以输入关键字，进行视频/直播搜索。当有结果返回时，进入搜索结果页面；当没有结果返回时，进入空结果页面。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直播/视频管理模块</w:t>
            </w:r>
          </w:p>
        </w:tc>
        <w:tc>
          <w:tcPr>
            <w:tcW w:w="6095" w:type="dxa"/>
            <w:vAlign w:val="center"/>
          </w:tcPr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1、展示毕业后教育/继续教育/院校教育/工作台，该分类可在后台添加灵活配置。当后台创建视频/直播，并选择在某个分类展示时，当视频/直播发布之后，用户便可在该分类下找到并观看该视频/直播。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2、视频搜索，用户可以输入关键字，进行视频/直播搜索。当有结果返回时，进入搜索结果页面；当没有结果返回时，进入空结果页面。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直播/视频管理模块</w:t>
            </w:r>
          </w:p>
        </w:tc>
        <w:tc>
          <w:tcPr>
            <w:tcW w:w="6095" w:type="dxa"/>
            <w:vAlign w:val="center"/>
          </w:tcPr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1、直播倒计时。直播房间一般在直播开始之间创建，直播倒计时用于提示用户本场直播的开始时间。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2、视频页面参数。视频页面包括：播放/暂停、分享、点赞、点赞人数统计、观看人数统计、全屏播放、视频主题/简介、留言、相关视频推荐。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3、直播页面参数。直播参数包括：播放/暂停、分享、点赞、点赞人数统计、观看人数统计、全屏播放、直播主题/简介、评论、提问、画面清晰度切换、成员查看、相关视频推荐。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其他功能模块</w:t>
            </w:r>
          </w:p>
        </w:tc>
        <w:tc>
          <w:tcPr>
            <w:tcW w:w="6095" w:type="dxa"/>
            <w:vAlign w:val="center"/>
          </w:tcPr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1、课程记录。通过课程记录进入，可观看到该账户的课程记录信息。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2、我的课表。可以查看当前排课日程表。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3、儿科教学查房，在工作台中增加儿科教学查房模块，可在线观看查房教学活动。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4、联盟单位。首页展示基于形成性评价教学的联盟单位</w:t>
            </w:r>
            <w:r>
              <w:rPr>
                <w:rFonts w:hint="eastAsia"/>
                <w:bCs/>
                <w:sz w:val="24"/>
                <w:lang w:val="en-US" w:eastAsia="zh-CN"/>
              </w:rPr>
              <w:t>窗口</w:t>
            </w:r>
            <w:r>
              <w:rPr>
                <w:rFonts w:hint="eastAsia"/>
                <w:bCs/>
                <w:sz w:val="24"/>
              </w:rPr>
              <w:t>，可后台配置联盟单位信息。联盟单位拥有自己的独立云空间，可以上传教学视频。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5、实名认证。完善用户信息，当用户首次注册账户时，用户可以上传自己的个人头像（本地相册或者相机拍照），填写姓名，选择医院，科室和职称，完善个人资料。</w:t>
            </w:r>
          </w:p>
          <w:p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6</w:t>
            </w:r>
            <w:r>
              <w:rPr>
                <w:rFonts w:hint="eastAsia"/>
                <w:bCs/>
                <w:sz w:val="24"/>
              </w:rPr>
              <w:t>、预留接口。在工作台中，展示CTU教学查房、PRL教学查房、RBL教学查房、质控管理等模块图标，为后期开发预留接口</w:t>
            </w:r>
          </w:p>
        </w:tc>
      </w:tr>
    </w:tbl>
    <w:p>
      <w:pPr>
        <w:rPr>
          <w:b/>
          <w:sz w:val="24"/>
        </w:rPr>
      </w:pPr>
    </w:p>
    <w:p>
      <w:pPr>
        <w:pStyle w:val="2"/>
        <w:rPr>
          <w:rFonts w:ascii="Times New Roman Regular" w:hAnsi="Times New Roman Regular" w:cs="Times New Roman Regular"/>
          <w:sz w:val="30"/>
          <w:szCs w:val="30"/>
        </w:rPr>
      </w:pPr>
      <w:r>
        <w:rPr>
          <w:rFonts w:ascii="Times New Roman Regular" w:hAnsi="Times New Roman Regular" w:cs="Times New Roman Regular"/>
          <w:sz w:val="30"/>
          <w:szCs w:val="30"/>
        </w:rPr>
        <w:t>三、报价要求</w:t>
      </w:r>
    </w:p>
    <w:p>
      <w:pPr>
        <w:pStyle w:val="14"/>
        <w:ind w:firstLine="480" w:firstLineChars="200"/>
        <w:jc w:val="left"/>
        <w:rPr>
          <w:rFonts w:ascii="Times New Roman Regular" w:hAnsi="Times New Roman Regular" w:eastAsia="宋体" w:cs="Times New Roman Regular"/>
          <w:szCs w:val="28"/>
        </w:rPr>
      </w:pPr>
      <w:r>
        <w:rPr>
          <w:rFonts w:ascii="Times New Roman Regular" w:hAnsi="Times New Roman Regular" w:eastAsia="宋体" w:cs="Times New Roman Regular"/>
          <w:szCs w:val="28"/>
        </w:rPr>
        <w:t>1、以年为单位报总价，格式自拟。</w:t>
      </w:r>
    </w:p>
    <w:p>
      <w:pPr>
        <w:pStyle w:val="14"/>
        <w:ind w:firstLine="480" w:firstLineChars="200"/>
        <w:jc w:val="left"/>
        <w:rPr>
          <w:rFonts w:ascii="Times New Roman Regular" w:hAnsi="Times New Roman Regular" w:eastAsia="宋体" w:cs="Times New Roman Regular"/>
          <w:szCs w:val="28"/>
        </w:rPr>
      </w:pPr>
      <w:r>
        <w:rPr>
          <w:rFonts w:ascii="Times New Roman Regular" w:hAnsi="Times New Roman Regular" w:eastAsia="宋体" w:cs="Times New Roman Regular"/>
          <w:szCs w:val="28"/>
        </w:rPr>
        <w:t>2、人民币报价，报价包括但不限于人工费、劳务费、保险费、税费、安装调试费等维保单位提供维保服务而产生的所有费用。</w:t>
      </w:r>
    </w:p>
    <w:p>
      <w:pPr>
        <w:pStyle w:val="12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2EB"/>
    <w:rsid w:val="001009CA"/>
    <w:rsid w:val="00115946"/>
    <w:rsid w:val="001867EE"/>
    <w:rsid w:val="001A4ED5"/>
    <w:rsid w:val="00292BAC"/>
    <w:rsid w:val="003351AC"/>
    <w:rsid w:val="00346710"/>
    <w:rsid w:val="005C73CB"/>
    <w:rsid w:val="006D4316"/>
    <w:rsid w:val="007C42EB"/>
    <w:rsid w:val="00834D0D"/>
    <w:rsid w:val="00844842"/>
    <w:rsid w:val="008D05B4"/>
    <w:rsid w:val="009520BB"/>
    <w:rsid w:val="00990ECC"/>
    <w:rsid w:val="00A50B83"/>
    <w:rsid w:val="00A54351"/>
    <w:rsid w:val="00AD3AC2"/>
    <w:rsid w:val="00D347EA"/>
    <w:rsid w:val="00D349CE"/>
    <w:rsid w:val="00DE402D"/>
    <w:rsid w:val="00E5718A"/>
    <w:rsid w:val="00E6495E"/>
    <w:rsid w:val="00F36CE1"/>
    <w:rsid w:val="1AF87517"/>
    <w:rsid w:val="31C617CE"/>
    <w:rsid w:val="420711F7"/>
    <w:rsid w:val="533C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table" w:styleId="6">
    <w:name w:val="Table Grid"/>
    <w:basedOn w:val="5"/>
    <w:qFormat/>
    <w:uiPriority w:val="39"/>
    <w:rPr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0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  <w14:ligatures w14:val="none"/>
    </w:rPr>
  </w:style>
  <w:style w:type="paragraph" w:customStyle="1" w:styleId="1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  <w14:ligatures w14:val="none"/>
    </w:rPr>
  </w:style>
  <w:style w:type="character" w:customStyle="1" w:styleId="13">
    <w:name w:val="方案正文 Char"/>
    <w:link w:val="14"/>
    <w:qFormat/>
    <w:uiPriority w:val="0"/>
    <w:rPr>
      <w:rFonts w:ascii="华文细黑" w:hAnsi="华文细黑" w:eastAsia="华文细黑"/>
      <w:sz w:val="24"/>
      <w:szCs w:val="24"/>
    </w:rPr>
  </w:style>
  <w:style w:type="paragraph" w:customStyle="1" w:styleId="14">
    <w:name w:val="方案正文"/>
    <w:basedOn w:val="1"/>
    <w:link w:val="13"/>
    <w:qFormat/>
    <w:uiPriority w:val="0"/>
    <w:pPr>
      <w:spacing w:before="120" w:line="360" w:lineRule="auto"/>
      <w:ind w:firstLine="425" w:firstLineChars="177"/>
    </w:pPr>
    <w:rPr>
      <w:rFonts w:ascii="华文细黑" w:hAnsi="华文细黑" w:eastAsia="华文细黑" w:cstheme="minorBidi"/>
      <w:sz w:val="24"/>
      <w14:ligatures w14:val="standardContextual"/>
    </w:rPr>
  </w:style>
  <w:style w:type="paragraph" w:styleId="15">
    <w:name w:val="List Paragraph"/>
    <w:basedOn w:val="1"/>
    <w:link w:val="16"/>
    <w:qFormat/>
    <w:uiPriority w:val="34"/>
    <w:pPr>
      <w:ind w:firstLine="420" w:firstLineChars="200"/>
    </w:pPr>
    <w:rPr>
      <w:rFonts w:cs="Calibri"/>
      <w:szCs w:val="21"/>
    </w:rPr>
  </w:style>
  <w:style w:type="character" w:customStyle="1" w:styleId="16">
    <w:name w:val="列表段落 字符"/>
    <w:basedOn w:val="7"/>
    <w:link w:val="15"/>
    <w:qFormat/>
    <w:uiPriority w:val="34"/>
    <w:rPr>
      <w:rFonts w:ascii="Calibri" w:hAnsi="Calibri" w:eastAsia="宋体" w:cs="Calibri"/>
      <w:szCs w:val="21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1120</Characters>
  <Lines>9</Lines>
  <Paragraphs>2</Paragraphs>
  <TotalTime>3</TotalTime>
  <ScaleCrop>false</ScaleCrop>
  <LinksUpToDate>false</LinksUpToDate>
  <CharactersWithSpaces>1314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2024-09-14T04:25:00Z</dcterms:created>
  <dc:creator>周 周</dc:creator>
  <cp:lastModifiedBy>嘉年华</cp:lastModifiedBy>
  <cp:lastPrinted>2024-09-14T05:39:00Z</cp:lastPrinted>
  <dcterms:modified xsi:type="dcterms:W3CDTF">2024-09-27T00:37:23Z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